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100"/>
        <w:gridCol w:w="2490"/>
        <w:gridCol w:w="213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20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时 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E3E3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类 别</w:t>
            </w:r>
          </w:p>
        </w:tc>
        <w:tc>
          <w:tcPr>
            <w:tcW w:w="6720" w:type="dxa"/>
            <w:gridSpan w:val="3"/>
            <w:vMerge w:val="restart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3月17日（星期六）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vMerge w:val="continue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上  午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下  午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下  午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1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9:00-11:00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13:00-15:00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16:00-18:00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幼 儿 园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综合素质(幼儿园)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小     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综合素质(小学)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初级中学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color="auto" w:sz="18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综合素质(中学)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学科知识与教学能力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高级中学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学科知识与教学能力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中职文化课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auto" w:sz="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中职专业课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sz w:val="21"/>
                <w:szCs w:val="21"/>
                <w:bdr w:val="none" w:color="auto" w:sz="0" w:space="0"/>
              </w:rPr>
              <w:t>中职实习指导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E3E3E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E3E3E"/>
              </w:rPr>
            </w:pPr>
            <w:r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03E2F"/>
    <w:rsid w:val="6A2D4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2017-12-28T06:50:42Z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